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56" w:rsidRDefault="00951556" w:rsidP="00951556">
      <w:pPr>
        <w:jc w:val="center"/>
        <w:rPr>
          <w:b/>
          <w:sz w:val="24"/>
          <w:szCs w:val="24"/>
        </w:rPr>
      </w:pPr>
      <w:r w:rsidRPr="00951556">
        <w:rPr>
          <w:b/>
          <w:sz w:val="24"/>
          <w:szCs w:val="24"/>
        </w:rPr>
        <w:t xml:space="preserve">Kiegészítés az </w:t>
      </w:r>
      <w:proofErr w:type="gramStart"/>
      <w:r w:rsidRPr="00951556">
        <w:rPr>
          <w:b/>
          <w:sz w:val="24"/>
          <w:szCs w:val="24"/>
        </w:rPr>
        <w:t>Optika méréshez</w:t>
      </w:r>
      <w:proofErr w:type="gramEnd"/>
      <w:r w:rsidR="005306D2">
        <w:rPr>
          <w:b/>
          <w:sz w:val="24"/>
          <w:szCs w:val="24"/>
        </w:rPr>
        <w:t xml:space="preserve"> V2</w:t>
      </w:r>
    </w:p>
    <w:p w:rsidR="00951556" w:rsidRDefault="00951556" w:rsidP="00951556">
      <w:pPr>
        <w:jc w:val="center"/>
        <w:rPr>
          <w:b/>
          <w:sz w:val="24"/>
          <w:szCs w:val="24"/>
        </w:rPr>
      </w:pPr>
    </w:p>
    <w:p w:rsidR="006A4053" w:rsidRPr="00BC2ECF" w:rsidRDefault="006A4053" w:rsidP="006A4053">
      <w:pPr>
        <w:rPr>
          <w:b/>
          <w:sz w:val="24"/>
          <w:szCs w:val="24"/>
        </w:rPr>
      </w:pPr>
      <w:r w:rsidRPr="00BC2ECF">
        <w:rPr>
          <w:b/>
          <w:sz w:val="24"/>
          <w:szCs w:val="24"/>
        </w:rPr>
        <w:t>Figyelmesen olvassa el a mérési leiratot!</w:t>
      </w:r>
    </w:p>
    <w:p w:rsidR="006A4053" w:rsidRPr="00BC2ECF" w:rsidRDefault="006A4053" w:rsidP="006A4053">
      <w:pPr>
        <w:rPr>
          <w:b/>
          <w:sz w:val="24"/>
          <w:szCs w:val="24"/>
        </w:rPr>
      </w:pPr>
      <w:r w:rsidRPr="00BC2ECF">
        <w:rPr>
          <w:b/>
          <w:sz w:val="24"/>
          <w:szCs w:val="24"/>
        </w:rPr>
        <w:t xml:space="preserve">A jegyzőkönyvet az alábbi útmutatás alapján készítse el. </w:t>
      </w:r>
      <w:r w:rsidR="00BC2ECF" w:rsidRPr="00BC2ECF">
        <w:rPr>
          <w:b/>
          <w:sz w:val="24"/>
          <w:szCs w:val="24"/>
        </w:rPr>
        <w:t>Az eddigiektől eltérően minden hallgató saját jegyzőkönyvet készítsen, vagyis megszűnnek a mérőpárok.</w:t>
      </w:r>
    </w:p>
    <w:p w:rsidR="00951556" w:rsidRDefault="00E74D6F" w:rsidP="00E74D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74D6F">
        <w:rPr>
          <w:sz w:val="24"/>
          <w:szCs w:val="24"/>
        </w:rPr>
        <w:t>Nézze végig az alábbi</w:t>
      </w:r>
      <w:r w:rsidR="00951556" w:rsidRPr="00E74D6F">
        <w:rPr>
          <w:sz w:val="24"/>
          <w:szCs w:val="24"/>
        </w:rPr>
        <w:t xml:space="preserve"> videót:</w:t>
      </w:r>
    </w:p>
    <w:p w:rsidR="006E39C0" w:rsidRPr="006E39C0" w:rsidRDefault="006E39C0" w:rsidP="006E39C0">
      <w:pPr>
        <w:ind w:left="360"/>
        <w:rPr>
          <w:sz w:val="24"/>
          <w:szCs w:val="24"/>
        </w:rPr>
      </w:pPr>
      <w:r w:rsidRPr="006E39C0">
        <w:rPr>
          <w:sz w:val="24"/>
          <w:szCs w:val="24"/>
        </w:rPr>
        <w:t>https://www.youtube.com/watch</w:t>
      </w:r>
      <w:proofErr w:type="gramStart"/>
      <w:r w:rsidRPr="006E39C0">
        <w:rPr>
          <w:sz w:val="24"/>
          <w:szCs w:val="24"/>
        </w:rPr>
        <w:t>?v</w:t>
      </w:r>
      <w:proofErr w:type="gramEnd"/>
      <w:r w:rsidRPr="006E39C0">
        <w:rPr>
          <w:sz w:val="24"/>
          <w:szCs w:val="24"/>
        </w:rPr>
        <w:t>=RX4fbX6FBro</w:t>
      </w:r>
    </w:p>
    <w:p w:rsidR="00E74D6F" w:rsidRDefault="00E74D6F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Kérdések, feladatok a videón (</w:t>
      </w:r>
      <w:proofErr w:type="spellStart"/>
      <w:r>
        <w:rPr>
          <w:rStyle w:val="Hiperhivatkozs"/>
          <w:color w:val="auto"/>
          <w:u w:val="none"/>
        </w:rPr>
        <w:t>Bessel</w:t>
      </w:r>
      <w:proofErr w:type="spellEnd"/>
      <w:r>
        <w:rPr>
          <w:rStyle w:val="Hiperhivatkozs"/>
          <w:color w:val="auto"/>
          <w:u w:val="none"/>
        </w:rPr>
        <w:t>-módszer) látottakkal kapcsolatban:</w:t>
      </w:r>
    </w:p>
    <w:p w:rsidR="00BC2ECF" w:rsidRDefault="00BC2ECF" w:rsidP="00BC2ECF">
      <w:pPr>
        <w:pStyle w:val="Listaszerbekezds"/>
        <w:numPr>
          <w:ilvl w:val="0"/>
          <w:numId w:val="5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Alkalmas-e a módszer szórólencse fókusztávolságának meghatározására? Indokolja válaszát.</w:t>
      </w:r>
    </w:p>
    <w:p w:rsidR="00BC2ECF" w:rsidRDefault="00BC2ECF" w:rsidP="00BC2ECF">
      <w:pPr>
        <w:pStyle w:val="Listaszerbekezds"/>
        <w:numPr>
          <w:ilvl w:val="0"/>
          <w:numId w:val="5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Mi a tárgy</w:t>
      </w:r>
      <w:r w:rsidR="003E3A2F">
        <w:rPr>
          <w:rStyle w:val="Hiperhivatkozs"/>
          <w:color w:val="auto"/>
          <w:u w:val="none"/>
        </w:rPr>
        <w:t>,</w:t>
      </w:r>
      <w:r>
        <w:rPr>
          <w:rStyle w:val="Hiperhivatkozs"/>
          <w:color w:val="auto"/>
          <w:u w:val="none"/>
        </w:rPr>
        <w:t xml:space="preserve"> amit leképeznek a kísérletben?</w:t>
      </w:r>
    </w:p>
    <w:p w:rsidR="005F7DA0" w:rsidRPr="005F7DA0" w:rsidRDefault="005F7DA0" w:rsidP="005F7DA0">
      <w:pPr>
        <w:pStyle w:val="Listaszerbekezds"/>
        <w:numPr>
          <w:ilvl w:val="0"/>
          <w:numId w:val="5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Állítsa meg a videót 1:00 körül és mentse le a képernyőképet. Jelölje be rajta az </w:t>
      </w:r>
      <w:r w:rsidRPr="006E39C0">
        <w:rPr>
          <w:rStyle w:val="Hiperhivatkozs"/>
          <w:i/>
          <w:color w:val="auto"/>
          <w:u w:val="none"/>
        </w:rPr>
        <w:t>s</w:t>
      </w:r>
      <w:r>
        <w:rPr>
          <w:rStyle w:val="Hiperhivatkozs"/>
          <w:color w:val="auto"/>
          <w:u w:val="none"/>
        </w:rPr>
        <w:t xml:space="preserve"> távolságot és másolja be a jegyzőkönyvbe.</w:t>
      </w:r>
    </w:p>
    <w:p w:rsidR="005F7DA0" w:rsidRDefault="005F7DA0" w:rsidP="005169B4">
      <w:pPr>
        <w:pStyle w:val="Listaszerbekezds"/>
        <w:numPr>
          <w:ilvl w:val="0"/>
          <w:numId w:val="5"/>
        </w:numPr>
        <w:rPr>
          <w:rStyle w:val="Hiperhivatkozs"/>
          <w:color w:val="auto"/>
          <w:u w:val="none"/>
        </w:rPr>
      </w:pPr>
      <w:r w:rsidRPr="005F7DA0">
        <w:rPr>
          <w:rStyle w:val="Hiperhivatkozs"/>
          <w:color w:val="auto"/>
          <w:u w:val="none"/>
        </w:rPr>
        <w:t>Állítsa meg a videót 1:4</w:t>
      </w:r>
      <w:r w:rsidRPr="005F7DA0">
        <w:rPr>
          <w:rStyle w:val="Hiperhivatkozs"/>
          <w:color w:val="auto"/>
          <w:u w:val="none"/>
        </w:rPr>
        <w:t xml:space="preserve">0 </w:t>
      </w:r>
      <w:r w:rsidRPr="005F7DA0">
        <w:rPr>
          <w:rStyle w:val="Hiperhivatkozs"/>
          <w:color w:val="auto"/>
          <w:u w:val="none"/>
        </w:rPr>
        <w:t>–</w:t>
      </w:r>
      <w:proofErr w:type="spellStart"/>
      <w:r w:rsidRPr="005F7DA0">
        <w:rPr>
          <w:rStyle w:val="Hiperhivatkozs"/>
          <w:color w:val="auto"/>
          <w:u w:val="none"/>
        </w:rPr>
        <w:t>nél</w:t>
      </w:r>
      <w:proofErr w:type="spellEnd"/>
      <w:r w:rsidRPr="005F7DA0">
        <w:rPr>
          <w:rStyle w:val="Hiperhivatkozs"/>
          <w:color w:val="auto"/>
          <w:u w:val="none"/>
        </w:rPr>
        <w:t xml:space="preserve">. A lencse most kicsinyített vagy nagyított képet alkot az ernyőn? </w:t>
      </w:r>
    </w:p>
    <w:p w:rsidR="005F7DA0" w:rsidRDefault="005F7DA0" w:rsidP="005F7DA0">
      <w:pPr>
        <w:pStyle w:val="Listaszerbekezds"/>
        <w:rPr>
          <w:rStyle w:val="Hiperhivatkozs"/>
          <w:color w:val="auto"/>
          <w:u w:val="none"/>
        </w:rPr>
      </w:pPr>
    </w:p>
    <w:p w:rsidR="00E74D6F" w:rsidRPr="005F7DA0" w:rsidRDefault="009C39DC" w:rsidP="005F7DA0">
      <w:pPr>
        <w:rPr>
          <w:rStyle w:val="Hiperhivatkozs"/>
          <w:color w:val="auto"/>
          <w:u w:val="none"/>
        </w:rPr>
      </w:pPr>
      <w:r w:rsidRPr="005F7DA0">
        <w:rPr>
          <w:rStyle w:val="Hiperhivatkozs"/>
          <w:b/>
          <w:color w:val="auto"/>
          <w:u w:val="none"/>
        </w:rPr>
        <w:t xml:space="preserve">Abban az esetben, ha tud szerezni egy gyűjtőlencsét, elvégezheti a mérést önállóan. </w:t>
      </w:r>
      <w:r w:rsidR="0035493B" w:rsidRPr="005F7DA0">
        <w:rPr>
          <w:rStyle w:val="Hiperhivatkozs"/>
          <w:b/>
          <w:color w:val="auto"/>
          <w:u w:val="none"/>
        </w:rPr>
        <w:t>Keressen alkalmas fényforrást és tárgyat. Írja le a mérés körülményeit, d</w:t>
      </w:r>
      <w:r w:rsidRPr="005F7DA0">
        <w:rPr>
          <w:rStyle w:val="Hiperhivatkozs"/>
          <w:b/>
          <w:color w:val="auto"/>
          <w:u w:val="none"/>
        </w:rPr>
        <w:t xml:space="preserve">okumentálja a mérését néhány fényképpel és a mérési adatait felhasználva (több </w:t>
      </w:r>
      <w:r w:rsidRPr="005F7DA0">
        <w:rPr>
          <w:rStyle w:val="Hiperhivatkozs"/>
          <w:b/>
          <w:i/>
          <w:color w:val="auto"/>
          <w:u w:val="none"/>
        </w:rPr>
        <w:t>s</w:t>
      </w:r>
      <w:r w:rsidRPr="005F7DA0">
        <w:rPr>
          <w:rStyle w:val="Hiperhivatkozs"/>
          <w:b/>
          <w:color w:val="auto"/>
          <w:u w:val="none"/>
        </w:rPr>
        <w:t xml:space="preserve"> távolságon végezzen mérést) számolja ki lencséje fókusztávolságát</w:t>
      </w:r>
      <w:r w:rsidRPr="005F7DA0">
        <w:rPr>
          <w:rStyle w:val="Hiperhivatkozs"/>
          <w:color w:val="auto"/>
          <w:u w:val="none"/>
        </w:rPr>
        <w:t xml:space="preserve">. </w:t>
      </w:r>
    </w:p>
    <w:p w:rsidR="009C39DC" w:rsidRPr="009E1DB7" w:rsidRDefault="009C39DC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Ha nem végez önálló mérést, akkor az alábbi adatokkal számolva határozza </w:t>
      </w:r>
      <w:r w:rsidR="009415F5">
        <w:rPr>
          <w:rStyle w:val="Hiperhivatkozs"/>
          <w:color w:val="auto"/>
          <w:u w:val="none"/>
        </w:rPr>
        <w:t xml:space="preserve">meg a lencse fókusztávolságát. </w:t>
      </w:r>
      <w:r>
        <w:rPr>
          <w:rStyle w:val="Hiperhivatkozs"/>
          <w:color w:val="auto"/>
          <w:u w:val="none"/>
        </w:rPr>
        <w:t>Az adatok egy korábbi mérésnek az eredményei</w:t>
      </w:r>
      <w:r w:rsidR="009415F5">
        <w:rPr>
          <w:rStyle w:val="Hiperhivatkozs"/>
          <w:color w:val="auto"/>
          <w:u w:val="none"/>
        </w:rPr>
        <w:t>, három különböző s távolság esetén.</w:t>
      </w:r>
      <w:r w:rsidR="009E1DB7">
        <w:rPr>
          <w:rStyle w:val="Hiperhivatkozs"/>
          <w:color w:val="auto"/>
          <w:u w:val="none"/>
        </w:rPr>
        <w:t xml:space="preserve"> Az </w:t>
      </w:r>
      <w:r w:rsidR="009E1DB7" w:rsidRPr="009E1DB7">
        <w:rPr>
          <w:rStyle w:val="Hiperhivatkozs"/>
          <w:i/>
          <w:color w:val="auto"/>
          <w:u w:val="none"/>
        </w:rPr>
        <w:t>x</w:t>
      </w:r>
      <w:r w:rsidR="009E1DB7">
        <w:rPr>
          <w:rStyle w:val="Hiperhivatkozs"/>
          <w:color w:val="auto"/>
          <w:u w:val="none"/>
          <w:vertAlign w:val="subscript"/>
        </w:rPr>
        <w:t>1</w:t>
      </w:r>
      <w:r w:rsidR="009E1DB7">
        <w:rPr>
          <w:rStyle w:val="Hiperhivatkozs"/>
          <w:color w:val="auto"/>
          <w:u w:val="none"/>
        </w:rPr>
        <w:t xml:space="preserve"> és </w:t>
      </w:r>
      <w:r w:rsidR="009E1DB7" w:rsidRPr="009E1DB7">
        <w:rPr>
          <w:rStyle w:val="Hiperhivatkozs"/>
          <w:i/>
          <w:color w:val="auto"/>
          <w:u w:val="none"/>
        </w:rPr>
        <w:t>x</w:t>
      </w:r>
      <w:r w:rsidR="009E1DB7">
        <w:rPr>
          <w:rStyle w:val="Hiperhivatkozs"/>
          <w:color w:val="auto"/>
          <w:u w:val="none"/>
          <w:vertAlign w:val="subscript"/>
        </w:rPr>
        <w:t>2</w:t>
      </w:r>
      <w:r w:rsidR="009E1DB7">
        <w:rPr>
          <w:rStyle w:val="Hiperhivatkozs"/>
          <w:color w:val="auto"/>
          <w:u w:val="none"/>
        </w:rPr>
        <w:t xml:space="preserve"> távolságokat az </w:t>
      </w:r>
      <w:proofErr w:type="gramStart"/>
      <w:r w:rsidR="009E1DB7">
        <w:rPr>
          <w:rStyle w:val="Hiperhivatkozs"/>
          <w:color w:val="auto"/>
          <w:u w:val="none"/>
        </w:rPr>
        <w:t>optika</w:t>
      </w:r>
      <w:proofErr w:type="gramEnd"/>
      <w:r w:rsidR="009E1DB7">
        <w:rPr>
          <w:rStyle w:val="Hiperhivatkozs"/>
          <w:color w:val="auto"/>
          <w:u w:val="none"/>
        </w:rPr>
        <w:t xml:space="preserve"> sín egyik végétől mértük.</w:t>
      </w:r>
      <w:r w:rsidR="000A239D">
        <w:rPr>
          <w:rStyle w:val="Hiperhivatkozs"/>
          <w:color w:val="auto"/>
          <w:u w:val="none"/>
        </w:rPr>
        <w:t xml:space="preserve"> Ezekben a </w:t>
      </w:r>
      <w:proofErr w:type="gramStart"/>
      <w:r w:rsidR="000A239D">
        <w:rPr>
          <w:rStyle w:val="Hiperhivatkozs"/>
          <w:color w:val="auto"/>
          <w:u w:val="none"/>
        </w:rPr>
        <w:t>pozíciókban</w:t>
      </w:r>
      <w:proofErr w:type="gramEnd"/>
      <w:r w:rsidR="000A239D">
        <w:rPr>
          <w:rStyle w:val="Hiperhivatkozs"/>
          <w:color w:val="auto"/>
          <w:u w:val="none"/>
        </w:rPr>
        <w:t xml:space="preserve"> kaptunk éles képet.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</w:tblGrid>
      <w:tr w:rsidR="009E1DB7" w:rsidTr="00823BCD"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 w:rsidRPr="00213F7F">
              <w:rPr>
                <w:rStyle w:val="Hiperhivatkozs"/>
                <w:i/>
                <w:color w:val="auto"/>
                <w:u w:val="none"/>
              </w:rPr>
              <w:t>s</w:t>
            </w:r>
            <w:r>
              <w:rPr>
                <w:rStyle w:val="Hiperhivatkozs"/>
                <w:color w:val="auto"/>
                <w:u w:val="none"/>
              </w:rPr>
              <w:t xml:space="preserve"> (cm)</w:t>
            </w:r>
          </w:p>
        </w:tc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proofErr w:type="gramStart"/>
            <w:r>
              <w:rPr>
                <w:rStyle w:val="Hiperhivatkozs"/>
                <w:i/>
                <w:color w:val="auto"/>
                <w:u w:val="none"/>
              </w:rPr>
              <w:t xml:space="preserve">x1 </w:t>
            </w:r>
            <w:r>
              <w:rPr>
                <w:rStyle w:val="Hiperhivatkozs"/>
                <w:color w:val="auto"/>
                <w:u w:val="none"/>
              </w:rPr>
              <w:t xml:space="preserve"> (</w:t>
            </w:r>
            <w:proofErr w:type="gramEnd"/>
            <w:r>
              <w:rPr>
                <w:rStyle w:val="Hiperhivatkozs"/>
                <w:color w:val="auto"/>
                <w:u w:val="none"/>
              </w:rPr>
              <w:t>cm)</w:t>
            </w:r>
          </w:p>
        </w:tc>
        <w:tc>
          <w:tcPr>
            <w:tcW w:w="1133" w:type="dxa"/>
          </w:tcPr>
          <w:p w:rsidR="009E1DB7" w:rsidRP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i/>
                <w:color w:val="auto"/>
                <w:u w:val="none"/>
              </w:rPr>
              <w:t xml:space="preserve">x2 </w:t>
            </w:r>
            <w:r>
              <w:rPr>
                <w:rStyle w:val="Hiperhivatkozs"/>
                <w:color w:val="auto"/>
                <w:u w:val="none"/>
              </w:rPr>
              <w:t>(cm)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 w:rsidRPr="00213F7F">
              <w:rPr>
                <w:rStyle w:val="Hiperhivatkozs"/>
                <w:i/>
                <w:color w:val="auto"/>
                <w:u w:val="none"/>
              </w:rPr>
              <w:t>f</w:t>
            </w:r>
            <w:r>
              <w:rPr>
                <w:rStyle w:val="Hiperhivatkozs"/>
                <w:color w:val="auto"/>
                <w:u w:val="none"/>
              </w:rPr>
              <w:t xml:space="preserve"> (cm)</w:t>
            </w:r>
          </w:p>
        </w:tc>
        <w:tc>
          <w:tcPr>
            <w:tcW w:w="1133" w:type="dxa"/>
          </w:tcPr>
          <w:p w:rsidR="009E1DB7" w:rsidRPr="00213F7F" w:rsidRDefault="009E1DB7">
            <w:pPr>
              <w:rPr>
                <w:rStyle w:val="Hiperhivatkozs"/>
                <w:color w:val="auto"/>
                <w:u w:val="none"/>
              </w:rPr>
            </w:pPr>
            <w:proofErr w:type="spellStart"/>
            <w:r w:rsidRPr="00213F7F">
              <w:rPr>
                <w:rStyle w:val="Hiperhivatkozs"/>
                <w:i/>
                <w:color w:val="auto"/>
                <w:u w:val="none"/>
              </w:rPr>
              <w:t>f</w:t>
            </w:r>
            <w:r>
              <w:rPr>
                <w:rStyle w:val="Hiperhivatkozs"/>
                <w:color w:val="auto"/>
                <w:u w:val="none"/>
                <w:vertAlign w:val="subscript"/>
              </w:rPr>
              <w:t>átlag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(cm)</w:t>
            </w:r>
          </w:p>
        </w:tc>
      </w:tr>
      <w:tr w:rsidR="009E1DB7" w:rsidTr="00823BCD"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84,2</w:t>
            </w:r>
          </w:p>
        </w:tc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25,3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85,3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</w:p>
        </w:tc>
        <w:tc>
          <w:tcPr>
            <w:tcW w:w="1133" w:type="dxa"/>
            <w:vMerge w:val="restart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</w:p>
        </w:tc>
      </w:tr>
      <w:tr w:rsidR="009E1DB7" w:rsidTr="00823BCD"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79,0</w:t>
            </w:r>
          </w:p>
        </w:tc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26,2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79,7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</w:p>
        </w:tc>
        <w:tc>
          <w:tcPr>
            <w:tcW w:w="1133" w:type="dxa"/>
            <w:vMerge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</w:p>
        </w:tc>
      </w:tr>
      <w:tr w:rsidR="009E1DB7" w:rsidTr="00823BCD"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71,1</w:t>
            </w:r>
          </w:p>
        </w:tc>
        <w:tc>
          <w:tcPr>
            <w:tcW w:w="1132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26,5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>71,7</w:t>
            </w:r>
          </w:p>
        </w:tc>
        <w:tc>
          <w:tcPr>
            <w:tcW w:w="1133" w:type="dxa"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</w:p>
        </w:tc>
        <w:tc>
          <w:tcPr>
            <w:tcW w:w="1133" w:type="dxa"/>
            <w:vMerge/>
          </w:tcPr>
          <w:p w:rsidR="009E1DB7" w:rsidRDefault="009E1DB7">
            <w:pPr>
              <w:rPr>
                <w:rStyle w:val="Hiperhivatkozs"/>
                <w:color w:val="auto"/>
                <w:u w:val="none"/>
              </w:rPr>
            </w:pPr>
          </w:p>
        </w:tc>
      </w:tr>
    </w:tbl>
    <w:p w:rsidR="009415F5" w:rsidRDefault="009415F5">
      <w:pPr>
        <w:rPr>
          <w:rStyle w:val="Hiperhivatkozs"/>
          <w:color w:val="auto"/>
          <w:u w:val="none"/>
        </w:rPr>
      </w:pPr>
    </w:p>
    <w:p w:rsidR="00E74D6F" w:rsidRPr="00E74D6F" w:rsidRDefault="00E74D6F" w:rsidP="00E74D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74D6F">
        <w:rPr>
          <w:sz w:val="24"/>
          <w:szCs w:val="24"/>
        </w:rPr>
        <w:t>Nézze végig az alábbi videót:</w:t>
      </w:r>
    </w:p>
    <w:p w:rsidR="00E74D6F" w:rsidRPr="00E74D6F" w:rsidRDefault="00E74D6F"/>
    <w:p w:rsidR="00C9420E" w:rsidRDefault="000A239D">
      <w:pPr>
        <w:rPr>
          <w:rStyle w:val="Hiperhivatkozs"/>
        </w:rPr>
      </w:pPr>
      <w:hyperlink r:id="rId5" w:history="1">
        <w:r w:rsidR="00C9420E" w:rsidRPr="00DA54D4">
          <w:rPr>
            <w:rStyle w:val="Hiperhivatkozs"/>
          </w:rPr>
          <w:t>https://www.youtube.com/watch?v=j-u3IEgcTiQ</w:t>
        </w:r>
      </w:hyperlink>
    </w:p>
    <w:p w:rsidR="00E74D6F" w:rsidRPr="00E74D6F" w:rsidRDefault="00E74D6F">
      <w:pPr>
        <w:rPr>
          <w:rStyle w:val="Hiperhivatkozs"/>
          <w:color w:val="auto"/>
          <w:u w:val="none"/>
        </w:rPr>
      </w:pPr>
      <w:r w:rsidRPr="00E74D6F">
        <w:rPr>
          <w:rStyle w:val="Hiperhivatkozs"/>
          <w:color w:val="auto"/>
          <w:u w:val="none"/>
        </w:rPr>
        <w:t>Kérdések</w:t>
      </w:r>
      <w:r>
        <w:rPr>
          <w:rStyle w:val="Hiperhivatkozs"/>
          <w:color w:val="auto"/>
          <w:u w:val="none"/>
        </w:rPr>
        <w:t>, feladatok</w:t>
      </w:r>
      <w:r w:rsidRPr="00E74D6F">
        <w:rPr>
          <w:rStyle w:val="Hiperhivatkozs"/>
          <w:color w:val="auto"/>
          <w:u w:val="none"/>
        </w:rPr>
        <w:t xml:space="preserve"> a </w:t>
      </w:r>
      <w:r>
        <w:rPr>
          <w:rStyle w:val="Hiperhivatkozs"/>
          <w:color w:val="auto"/>
          <w:u w:val="none"/>
        </w:rPr>
        <w:t>videón (</w:t>
      </w:r>
      <w:proofErr w:type="spellStart"/>
      <w:r>
        <w:rPr>
          <w:rStyle w:val="Hiperhivatkozs"/>
          <w:color w:val="auto"/>
          <w:u w:val="none"/>
        </w:rPr>
        <w:t>Michelson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interferométer</w:t>
      </w:r>
      <w:proofErr w:type="spellEnd"/>
      <w:r>
        <w:rPr>
          <w:rStyle w:val="Hiperhivatkozs"/>
          <w:color w:val="auto"/>
          <w:u w:val="none"/>
        </w:rPr>
        <w:t>) látottakkal kapcsolatban:</w:t>
      </w:r>
    </w:p>
    <w:p w:rsidR="005D75D4" w:rsidRPr="00E74D6F" w:rsidRDefault="003E28E9" w:rsidP="00E74D6F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 w:rsidRPr="00E74D6F">
        <w:rPr>
          <w:rStyle w:val="Hiperhivatkozs"/>
          <w:color w:val="auto"/>
          <w:u w:val="none"/>
        </w:rPr>
        <w:t>Állítsa meg a videót 0:</w:t>
      </w:r>
      <w:r w:rsidR="00C357BD">
        <w:rPr>
          <w:rStyle w:val="Hiperhivatkozs"/>
          <w:color w:val="auto"/>
          <w:u w:val="none"/>
        </w:rPr>
        <w:t>11</w:t>
      </w:r>
      <w:r w:rsidR="005C7704">
        <w:rPr>
          <w:rStyle w:val="Hiperhivatkozs"/>
          <w:color w:val="auto"/>
          <w:u w:val="none"/>
        </w:rPr>
        <w:t>-</w:t>
      </w:r>
      <w:r w:rsidR="00C357BD">
        <w:rPr>
          <w:rStyle w:val="Hiperhivatkozs"/>
          <w:color w:val="auto"/>
          <w:u w:val="none"/>
        </w:rPr>
        <w:t>né</w:t>
      </w:r>
      <w:r w:rsidRPr="00E74D6F">
        <w:rPr>
          <w:rStyle w:val="Hiperhivatkozs"/>
          <w:color w:val="auto"/>
          <w:u w:val="none"/>
        </w:rPr>
        <w:t>l és mentse le a képet. Jelölje be rajta a lé</w:t>
      </w:r>
      <w:r w:rsidR="000A239D">
        <w:rPr>
          <w:rStyle w:val="Hiperhivatkozs"/>
          <w:color w:val="auto"/>
          <w:u w:val="none"/>
        </w:rPr>
        <w:t xml:space="preserve">zert, a féligáteresztő tükröt, </w:t>
      </w:r>
      <w:r w:rsidR="00C357BD">
        <w:rPr>
          <w:rStyle w:val="Hiperhivatkozs"/>
          <w:color w:val="auto"/>
          <w:u w:val="none"/>
        </w:rPr>
        <w:t>a beállítótükröt és a mozgatható tükröt.</w:t>
      </w:r>
    </w:p>
    <w:p w:rsidR="003E28E9" w:rsidRPr="00E74D6F" w:rsidRDefault="003E28E9" w:rsidP="00E74D6F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 w:rsidRPr="00E74D6F">
        <w:rPr>
          <w:rStyle w:val="Hiperhivatkozs"/>
          <w:color w:val="auto"/>
          <w:u w:val="none"/>
        </w:rPr>
        <w:t>A mérés folyamán hány mikrométerrel mozdították el a beállító tükröt (</w:t>
      </w:r>
      <w:proofErr w:type="spellStart"/>
      <w:r w:rsidRPr="00E74D6F">
        <w:rPr>
          <w:rStyle w:val="Hiperhivatkozs"/>
          <w:color w:val="auto"/>
          <w:u w:val="none"/>
        </w:rPr>
        <w:t>adjustable</w:t>
      </w:r>
      <w:proofErr w:type="spellEnd"/>
      <w:r w:rsidRPr="00E74D6F">
        <w:rPr>
          <w:rStyle w:val="Hiperhivatkozs"/>
          <w:color w:val="auto"/>
          <w:u w:val="none"/>
        </w:rPr>
        <w:t xml:space="preserve"> </w:t>
      </w:r>
      <w:proofErr w:type="spellStart"/>
      <w:r w:rsidRPr="00E74D6F">
        <w:rPr>
          <w:rStyle w:val="Hiperhivatkozs"/>
          <w:color w:val="auto"/>
          <w:u w:val="none"/>
        </w:rPr>
        <w:t>mirror</w:t>
      </w:r>
      <w:proofErr w:type="spellEnd"/>
      <w:r w:rsidRPr="00E74D6F">
        <w:rPr>
          <w:rStyle w:val="Hiperhivatkozs"/>
          <w:color w:val="auto"/>
          <w:u w:val="none"/>
        </w:rPr>
        <w:t>-t)?</w:t>
      </w:r>
    </w:p>
    <w:p w:rsidR="00126F4D" w:rsidRPr="00E74D6F" w:rsidRDefault="007428AC" w:rsidP="00E74D6F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Hogyan számolták le a gyűrűátmenetek számát? </w:t>
      </w:r>
      <w:r w:rsidR="00126F4D" w:rsidRPr="00E74D6F">
        <w:rPr>
          <w:rStyle w:val="Hiperhivatkozs"/>
          <w:color w:val="auto"/>
          <w:u w:val="none"/>
        </w:rPr>
        <w:t>Hány átmenetet számoltak le?</w:t>
      </w:r>
    </w:p>
    <w:p w:rsidR="00126F4D" w:rsidRDefault="00126F4D" w:rsidP="00E74D6F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 w:rsidRPr="00E74D6F">
        <w:rPr>
          <w:rStyle w:val="Hiperhivatkozs"/>
          <w:color w:val="auto"/>
          <w:u w:val="none"/>
        </w:rPr>
        <w:t>Mekkora az alkalmazott fény hullámhossza?</w:t>
      </w:r>
      <w:r w:rsidR="003E3A2F">
        <w:rPr>
          <w:rStyle w:val="Hiperhivatkozs"/>
          <w:color w:val="auto"/>
          <w:u w:val="none"/>
        </w:rPr>
        <w:t xml:space="preserve"> Hihető ez az eredmény? (Indokolja válaszát.)</w:t>
      </w:r>
    </w:p>
    <w:p w:rsidR="00D13F09" w:rsidRDefault="00D13F09" w:rsidP="00E74D6F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Több vagy kevesebb átmenetet számolnának le ugyanakkora tükörelmozdítás során, ha </w:t>
      </w:r>
      <w:r w:rsidR="000A239D">
        <w:rPr>
          <w:rStyle w:val="Hiperhivatkozs"/>
          <w:color w:val="auto"/>
          <w:u w:val="none"/>
        </w:rPr>
        <w:t>zöld színű lézerfé</w:t>
      </w:r>
      <w:bookmarkStart w:id="0" w:name="_GoBack"/>
      <w:bookmarkEnd w:id="0"/>
      <w:r w:rsidR="000A239D">
        <w:rPr>
          <w:rStyle w:val="Hiperhivatkozs"/>
          <w:color w:val="auto"/>
          <w:u w:val="none"/>
        </w:rPr>
        <w:t>nyt</w:t>
      </w:r>
      <w:r>
        <w:rPr>
          <w:rStyle w:val="Hiperhivatkozs"/>
          <w:color w:val="auto"/>
          <w:u w:val="none"/>
        </w:rPr>
        <w:t xml:space="preserve"> használnának?</w:t>
      </w:r>
    </w:p>
    <w:p w:rsidR="00E74D6F" w:rsidRDefault="00E74D6F" w:rsidP="00E74D6F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lastRenderedPageBreak/>
        <w:t>Foglalja össze 2-3 mondatban, hogy mi volt ennek a mérésnek a célja és értékelje a mérés eredményét.</w:t>
      </w:r>
    </w:p>
    <w:p w:rsidR="00E74D6F" w:rsidRDefault="00E74D6F" w:rsidP="00E74D6F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A mérési leirat szerint mi egy </w:t>
      </w:r>
      <w:proofErr w:type="spellStart"/>
      <w:r>
        <w:rPr>
          <w:rStyle w:val="Hiperhivatkozs"/>
          <w:color w:val="auto"/>
          <w:u w:val="none"/>
        </w:rPr>
        <w:t>piezo</w:t>
      </w:r>
      <w:proofErr w:type="spellEnd"/>
      <w:r>
        <w:rPr>
          <w:rStyle w:val="Hiperhivatkozs"/>
          <w:color w:val="auto"/>
          <w:u w:val="none"/>
        </w:rPr>
        <w:t xml:space="preserve"> mozgató átalakítási tényezőjét akarjuk meghatározni</w:t>
      </w:r>
      <w:r w:rsidR="001B5B0B">
        <w:rPr>
          <w:rStyle w:val="Hiperhivatkozs"/>
          <w:color w:val="auto"/>
          <w:u w:val="none"/>
        </w:rPr>
        <w:t xml:space="preserve"> (kalibráljuk az átalakítót)</w:t>
      </w:r>
      <w:r>
        <w:rPr>
          <w:rStyle w:val="Hiperhivatkozs"/>
          <w:color w:val="auto"/>
          <w:u w:val="none"/>
        </w:rPr>
        <w:t>.</w:t>
      </w:r>
      <w:r w:rsidR="001B5B0B">
        <w:rPr>
          <w:rStyle w:val="Hiperhivatkozs"/>
          <w:color w:val="auto"/>
          <w:u w:val="none"/>
        </w:rPr>
        <w:t xml:space="preserve"> Miután beállítottuk az </w:t>
      </w:r>
      <w:proofErr w:type="spellStart"/>
      <w:r w:rsidR="001B5B0B">
        <w:rPr>
          <w:rStyle w:val="Hiperhivatkozs"/>
          <w:color w:val="auto"/>
          <w:u w:val="none"/>
        </w:rPr>
        <w:t>interferométert</w:t>
      </w:r>
      <w:proofErr w:type="spellEnd"/>
      <w:r w:rsidR="001B5B0B">
        <w:rPr>
          <w:rStyle w:val="Hiperhivatkozs"/>
          <w:color w:val="auto"/>
          <w:u w:val="none"/>
        </w:rPr>
        <w:t>, az átalakítóra növekvő feszül</w:t>
      </w:r>
      <w:r w:rsidR="0035493B">
        <w:rPr>
          <w:rStyle w:val="Hiperhivatkozs"/>
          <w:color w:val="auto"/>
          <w:u w:val="none"/>
        </w:rPr>
        <w:t>tséget adtunk és számoljuk</w:t>
      </w:r>
      <w:r w:rsidR="001B5B0B">
        <w:rPr>
          <w:rStyle w:val="Hiperhivatkozs"/>
          <w:color w:val="auto"/>
          <w:u w:val="none"/>
        </w:rPr>
        <w:t xml:space="preserve"> az egymásba átalakuló interferenciaképek. Az alábbi táblázat mutatja, hogy a 0-20 V-</w:t>
      </w:r>
      <w:proofErr w:type="spellStart"/>
      <w:r w:rsidR="001B5B0B">
        <w:rPr>
          <w:rStyle w:val="Hiperhivatkozs"/>
          <w:color w:val="auto"/>
          <w:u w:val="none"/>
        </w:rPr>
        <w:t>os</w:t>
      </w:r>
      <w:proofErr w:type="spellEnd"/>
      <w:r w:rsidR="001B5B0B">
        <w:rPr>
          <w:rStyle w:val="Hiperhivatkozs"/>
          <w:color w:val="auto"/>
          <w:u w:val="none"/>
        </w:rPr>
        <w:t xml:space="preserve"> tartományban a gyűrűkép hány teljes átalakulása ment végbe: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371"/>
        <w:gridCol w:w="1509"/>
        <w:gridCol w:w="1509"/>
      </w:tblGrid>
      <w:tr w:rsidR="001B5B0B" w:rsidTr="002679DA">
        <w:tc>
          <w:tcPr>
            <w:tcW w:w="1838" w:type="dxa"/>
            <w:vAlign w:val="center"/>
          </w:tcPr>
          <w:p w:rsidR="001B5B0B" w:rsidRPr="001B5B0B" w:rsidRDefault="001B5B0B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18" w:type="dxa"/>
            <w:vAlign w:val="bottom"/>
          </w:tcPr>
          <w:p w:rsidR="001B5B0B" w:rsidRPr="001B5B0B" w:rsidRDefault="001B5B0B" w:rsidP="006A4053">
            <w:pPr>
              <w:pStyle w:val="Listaszerbekezds"/>
              <w:numPr>
                <w:ilvl w:val="0"/>
                <w:numId w:val="4"/>
              </w:numPr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>mérés</w:t>
            </w:r>
          </w:p>
        </w:tc>
        <w:tc>
          <w:tcPr>
            <w:tcW w:w="1417" w:type="dxa"/>
            <w:vAlign w:val="center"/>
          </w:tcPr>
          <w:p w:rsidR="001B5B0B" w:rsidRPr="001B5B0B" w:rsidRDefault="001B5B0B" w:rsidP="006A4053">
            <w:pPr>
              <w:pStyle w:val="Listaszerbekezds"/>
              <w:numPr>
                <w:ilvl w:val="0"/>
                <w:numId w:val="4"/>
              </w:num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>mérés</w:t>
            </w:r>
          </w:p>
        </w:tc>
        <w:tc>
          <w:tcPr>
            <w:tcW w:w="1371" w:type="dxa"/>
            <w:vAlign w:val="center"/>
          </w:tcPr>
          <w:p w:rsidR="001B5B0B" w:rsidRPr="001B5B0B" w:rsidRDefault="001B5B0B" w:rsidP="006A4053">
            <w:pPr>
              <w:pStyle w:val="Listaszerbekezds"/>
              <w:numPr>
                <w:ilvl w:val="0"/>
                <w:numId w:val="4"/>
              </w:num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>mérés</w:t>
            </w:r>
          </w:p>
        </w:tc>
        <w:tc>
          <w:tcPr>
            <w:tcW w:w="1509" w:type="dxa"/>
            <w:vAlign w:val="center"/>
          </w:tcPr>
          <w:p w:rsidR="001B5B0B" w:rsidRPr="001B5B0B" w:rsidRDefault="001B5B0B" w:rsidP="006A4053">
            <w:pPr>
              <w:pStyle w:val="Listaszerbekezds"/>
              <w:numPr>
                <w:ilvl w:val="0"/>
                <w:numId w:val="4"/>
              </w:num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>mérés</w:t>
            </w:r>
          </w:p>
        </w:tc>
        <w:tc>
          <w:tcPr>
            <w:tcW w:w="1509" w:type="dxa"/>
            <w:vAlign w:val="center"/>
          </w:tcPr>
          <w:p w:rsidR="001B5B0B" w:rsidRPr="001B5B0B" w:rsidRDefault="001B5B0B" w:rsidP="006A4053">
            <w:pPr>
              <w:pStyle w:val="Listaszerbekezds"/>
              <w:numPr>
                <w:ilvl w:val="0"/>
                <w:numId w:val="4"/>
              </w:num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>mérés</w:t>
            </w:r>
          </w:p>
        </w:tc>
      </w:tr>
      <w:tr w:rsidR="001B5B0B" w:rsidTr="002679DA">
        <w:tc>
          <w:tcPr>
            <w:tcW w:w="1838" w:type="dxa"/>
            <w:vAlign w:val="center"/>
          </w:tcPr>
          <w:p w:rsidR="001B5B0B" w:rsidRPr="001B5B0B" w:rsidRDefault="001B5B0B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 xml:space="preserve">A </w:t>
            </w:r>
            <w:r w:rsidR="005C7704">
              <w:rPr>
                <w:rStyle w:val="Hiperhivatkozs"/>
                <w:color w:val="auto"/>
                <w:sz w:val="16"/>
                <w:szCs w:val="16"/>
                <w:u w:val="none"/>
              </w:rPr>
              <w:t xml:space="preserve">teljes átmenethez tartozó </w:t>
            </w:r>
            <w:r w:rsidRPr="001B5B0B">
              <w:rPr>
                <w:rStyle w:val="Hiperhivatkozs"/>
                <w:color w:val="auto"/>
                <w:sz w:val="16"/>
                <w:szCs w:val="16"/>
                <w:u w:val="none"/>
              </w:rPr>
              <w:t>végfeszültség</w:t>
            </w:r>
            <w:r w:rsidR="006A4053">
              <w:rPr>
                <w:rStyle w:val="Hiperhivatkozs"/>
                <w:color w:val="auto"/>
                <w:sz w:val="16"/>
                <w:szCs w:val="16"/>
                <w:u w:val="none"/>
              </w:rPr>
              <w:t xml:space="preserve"> (V)</w:t>
            </w:r>
          </w:p>
        </w:tc>
        <w:tc>
          <w:tcPr>
            <w:tcW w:w="1418" w:type="dxa"/>
            <w:vAlign w:val="bottom"/>
          </w:tcPr>
          <w:p w:rsidR="001B5B0B" w:rsidRPr="001B5B0B" w:rsidRDefault="007428AC" w:rsidP="005C7704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19,8</w:t>
            </w:r>
          </w:p>
        </w:tc>
        <w:tc>
          <w:tcPr>
            <w:tcW w:w="1417" w:type="dxa"/>
            <w:vAlign w:val="center"/>
          </w:tcPr>
          <w:p w:rsidR="001B5B0B" w:rsidRPr="001B5B0B" w:rsidRDefault="007428AC" w:rsidP="007428AC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17,6</w:t>
            </w:r>
          </w:p>
        </w:tc>
        <w:tc>
          <w:tcPr>
            <w:tcW w:w="1371" w:type="dxa"/>
            <w:vAlign w:val="center"/>
          </w:tcPr>
          <w:p w:rsidR="001B5B0B" w:rsidRPr="001B5B0B" w:rsidRDefault="007428AC" w:rsidP="007428AC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16,9</w:t>
            </w:r>
          </w:p>
        </w:tc>
        <w:tc>
          <w:tcPr>
            <w:tcW w:w="1509" w:type="dxa"/>
            <w:vAlign w:val="center"/>
          </w:tcPr>
          <w:p w:rsidR="001B5B0B" w:rsidRPr="001B5B0B" w:rsidRDefault="007428AC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17.9</w:t>
            </w:r>
          </w:p>
        </w:tc>
        <w:tc>
          <w:tcPr>
            <w:tcW w:w="1509" w:type="dxa"/>
            <w:vAlign w:val="center"/>
          </w:tcPr>
          <w:p w:rsidR="001B5B0B" w:rsidRPr="001B5B0B" w:rsidRDefault="007428AC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19,4</w:t>
            </w:r>
          </w:p>
        </w:tc>
      </w:tr>
      <w:tr w:rsidR="001B5B0B" w:rsidTr="002679DA">
        <w:tc>
          <w:tcPr>
            <w:tcW w:w="1838" w:type="dxa"/>
            <w:vAlign w:val="center"/>
          </w:tcPr>
          <w:p w:rsidR="001B5B0B" w:rsidRPr="001B5B0B" w:rsidRDefault="006A4053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Átmenetek száma, N</w:t>
            </w:r>
          </w:p>
        </w:tc>
        <w:tc>
          <w:tcPr>
            <w:tcW w:w="1418" w:type="dxa"/>
            <w:vAlign w:val="bottom"/>
          </w:tcPr>
          <w:p w:rsidR="001B5B0B" w:rsidRPr="001B5B0B" w:rsidRDefault="007428AC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1417" w:type="dxa"/>
            <w:vAlign w:val="center"/>
          </w:tcPr>
          <w:p w:rsidR="001B5B0B" w:rsidRPr="001B5B0B" w:rsidRDefault="001B5B0B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1371" w:type="dxa"/>
            <w:vAlign w:val="center"/>
          </w:tcPr>
          <w:p w:rsidR="001B5B0B" w:rsidRPr="001B5B0B" w:rsidRDefault="001B5B0B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1509" w:type="dxa"/>
            <w:vAlign w:val="center"/>
          </w:tcPr>
          <w:p w:rsidR="001B5B0B" w:rsidRPr="001B5B0B" w:rsidRDefault="001B5B0B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1509" w:type="dxa"/>
            <w:vAlign w:val="center"/>
          </w:tcPr>
          <w:p w:rsidR="001B5B0B" w:rsidRPr="001B5B0B" w:rsidRDefault="007428AC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>5</w:t>
            </w:r>
          </w:p>
        </w:tc>
      </w:tr>
      <w:tr w:rsidR="005C7704" w:rsidTr="002679DA">
        <w:tc>
          <w:tcPr>
            <w:tcW w:w="1838" w:type="dxa"/>
            <w:vAlign w:val="center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 xml:space="preserve">A tükör elmozdulása </w:t>
            </w:r>
            <w:r w:rsidRPr="005C7704">
              <w:rPr>
                <w:rStyle w:val="Hiperhivatkozs"/>
                <w:i/>
                <w:color w:val="auto"/>
                <w:sz w:val="16"/>
                <w:szCs w:val="16"/>
                <w:u w:val="none"/>
              </w:rPr>
              <w:t>d</w:t>
            </w:r>
            <w:r>
              <w:rPr>
                <w:rStyle w:val="Hiperhivatkozs"/>
                <w:color w:val="auto"/>
                <w:sz w:val="16"/>
                <w:szCs w:val="16"/>
                <w:u w:val="none"/>
              </w:rPr>
              <w:t xml:space="preserve">, (nm) </w:t>
            </w:r>
          </w:p>
        </w:tc>
        <w:tc>
          <w:tcPr>
            <w:tcW w:w="1418" w:type="dxa"/>
            <w:vAlign w:val="bottom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71" w:type="dxa"/>
            <w:vAlign w:val="center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09" w:type="dxa"/>
            <w:vAlign w:val="center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09" w:type="dxa"/>
            <w:vAlign w:val="center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</w:tr>
      <w:tr w:rsidR="005C7704" w:rsidTr="002679DA">
        <w:tc>
          <w:tcPr>
            <w:tcW w:w="1838" w:type="dxa"/>
            <w:vAlign w:val="center"/>
          </w:tcPr>
          <w:p w:rsidR="005C7704" w:rsidRPr="005C7704" w:rsidRDefault="005C7704" w:rsidP="006A4053">
            <w:pPr>
              <w:jc w:val="center"/>
              <w:rPr>
                <w:rStyle w:val="Hiperhivatkozs"/>
                <w:color w:val="auto"/>
                <w:sz w:val="20"/>
                <w:szCs w:val="20"/>
                <w:u w:val="none"/>
                <w:vertAlign w:val="subscript"/>
              </w:rPr>
            </w:pPr>
            <w:proofErr w:type="spellStart"/>
            <w:r w:rsidRPr="005C7704">
              <w:rPr>
                <w:rStyle w:val="Hiperhivatkozs"/>
                <w:i/>
                <w:color w:val="auto"/>
                <w:sz w:val="20"/>
                <w:szCs w:val="20"/>
                <w:u w:val="none"/>
              </w:rPr>
              <w:t>d</w:t>
            </w:r>
            <w:r w:rsidRPr="005C7704">
              <w:rPr>
                <w:rStyle w:val="Hiperhivatkozs"/>
                <w:color w:val="auto"/>
                <w:sz w:val="20"/>
                <w:szCs w:val="20"/>
                <w:u w:val="none"/>
                <w:vertAlign w:val="subscript"/>
              </w:rPr>
              <w:t>átlag</w:t>
            </w:r>
            <w:proofErr w:type="spellEnd"/>
          </w:p>
        </w:tc>
        <w:tc>
          <w:tcPr>
            <w:tcW w:w="7224" w:type="dxa"/>
            <w:gridSpan w:val="5"/>
            <w:vAlign w:val="bottom"/>
          </w:tcPr>
          <w:p w:rsidR="005C7704" w:rsidRDefault="005C7704" w:rsidP="006A4053">
            <w:pPr>
              <w:jc w:val="center"/>
              <w:rPr>
                <w:rStyle w:val="Hiperhivatkozs"/>
                <w:color w:val="auto"/>
                <w:sz w:val="16"/>
                <w:szCs w:val="16"/>
                <w:u w:val="none"/>
              </w:rPr>
            </w:pPr>
          </w:p>
        </w:tc>
      </w:tr>
    </w:tbl>
    <w:p w:rsidR="001B5B0B" w:rsidRDefault="001B5B0B" w:rsidP="00E74D6F">
      <w:pPr>
        <w:rPr>
          <w:rStyle w:val="Hiperhivatkozs"/>
          <w:color w:val="auto"/>
          <w:u w:val="none"/>
        </w:rPr>
      </w:pPr>
    </w:p>
    <w:p w:rsidR="006A4053" w:rsidRPr="00E74D6F" w:rsidRDefault="005C7704" w:rsidP="00E74D6F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Adja</w:t>
      </w:r>
      <w:r w:rsidR="006A4053">
        <w:rPr>
          <w:rStyle w:val="Hiperhivatkozs"/>
          <w:color w:val="auto"/>
          <w:u w:val="none"/>
        </w:rPr>
        <w:t xml:space="preserve"> meg a </w:t>
      </w:r>
      <w:proofErr w:type="spellStart"/>
      <w:r w:rsidR="006A4053">
        <w:rPr>
          <w:rStyle w:val="Hiperhivatkozs"/>
          <w:color w:val="auto"/>
          <w:u w:val="none"/>
        </w:rPr>
        <w:t>piezoátalakító</w:t>
      </w:r>
      <w:proofErr w:type="spellEnd"/>
      <w:r w:rsidR="006A4053">
        <w:rPr>
          <w:rStyle w:val="Hiperhivatkozs"/>
          <w:color w:val="auto"/>
          <w:u w:val="none"/>
        </w:rPr>
        <w:t xml:space="preserve"> átalakítási tényezőjét </w:t>
      </w:r>
      <m:oMath>
        <m:f>
          <m:fPr>
            <m:ctrlPr>
              <w:rPr>
                <w:rStyle w:val="Hiperhivatkozs"/>
                <w:rFonts w:ascii="Cambria Math" w:hAnsi="Cambria Math"/>
                <w:color w:val="auto"/>
                <w:u w:val="none"/>
              </w:rPr>
            </m:ctrlPr>
          </m:fPr>
          <m:num>
            <m:r>
              <m:rPr>
                <m:sty m:val="p"/>
              </m:rPr>
              <w:rPr>
                <w:rStyle w:val="Hiperhivatkozs"/>
                <w:rFonts w:ascii="Cambria Math" w:hAnsi="Cambria Math"/>
                <w:color w:val="auto"/>
                <w:u w:val="none"/>
              </w:rPr>
              <m:t>nm</m:t>
            </m:r>
          </m:num>
          <m:den>
            <m:r>
              <m:rPr>
                <m:sty m:val="p"/>
              </m:rPr>
              <w:rPr>
                <w:rStyle w:val="Hiperhivatkozs"/>
                <w:rFonts w:ascii="Cambria Math" w:hAnsi="Cambria Math"/>
                <w:color w:val="auto"/>
                <w:u w:val="none"/>
              </w:rPr>
              <m:t>V</m:t>
            </m:r>
          </m:den>
        </m:f>
      </m:oMath>
      <w:r w:rsidR="006A4053">
        <w:rPr>
          <w:rStyle w:val="Hiperhivatkozs"/>
          <w:rFonts w:eastAsiaTheme="minorEastAsia"/>
          <w:color w:val="auto"/>
          <w:u w:val="none"/>
        </w:rPr>
        <w:t xml:space="preserve"> egységben</w:t>
      </w:r>
      <w:r w:rsidR="002679DA">
        <w:rPr>
          <w:rStyle w:val="Hiperhivatkozs"/>
          <w:rFonts w:eastAsiaTheme="minorEastAsia"/>
          <w:color w:val="auto"/>
          <w:u w:val="none"/>
        </w:rPr>
        <w:t>, vagyis számolja ki, hogy egy volt feszültség hatására mekkora a mozgató hosszváltozása</w:t>
      </w:r>
      <w:r w:rsidR="006A4053">
        <w:rPr>
          <w:rStyle w:val="Hiperhivatkozs"/>
          <w:rFonts w:eastAsiaTheme="minorEastAsia"/>
          <w:color w:val="auto"/>
          <w:u w:val="none"/>
        </w:rPr>
        <w:t xml:space="preserve">! A használt fény hullámhossza </w:t>
      </w:r>
      <w:r w:rsidR="007428AC">
        <w:rPr>
          <w:rStyle w:val="Hiperhivatkozs"/>
          <w:rFonts w:eastAsiaTheme="minorEastAsia"/>
          <w:color w:val="auto"/>
          <w:u w:val="none"/>
        </w:rPr>
        <w:t>632</w:t>
      </w:r>
      <w:r w:rsidR="006A4053">
        <w:rPr>
          <w:rStyle w:val="Hiperhivatkozs"/>
          <w:rFonts w:eastAsiaTheme="minorEastAsia"/>
          <w:color w:val="auto"/>
          <w:u w:val="none"/>
        </w:rPr>
        <w:t xml:space="preserve"> nm.</w:t>
      </w:r>
    </w:p>
    <w:p w:rsidR="005D75D4" w:rsidRDefault="005D75D4"/>
    <w:p w:rsidR="00951556" w:rsidRDefault="00951556"/>
    <w:sectPr w:rsidR="0095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36C"/>
    <w:multiLevelType w:val="hybridMultilevel"/>
    <w:tmpl w:val="2B3E43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F16"/>
    <w:multiLevelType w:val="hybridMultilevel"/>
    <w:tmpl w:val="FBBA973C"/>
    <w:lvl w:ilvl="0" w:tplc="4DFAF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43B"/>
    <w:multiLevelType w:val="hybridMultilevel"/>
    <w:tmpl w:val="79BED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3452"/>
    <w:multiLevelType w:val="hybridMultilevel"/>
    <w:tmpl w:val="0B0082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1024"/>
    <w:multiLevelType w:val="hybridMultilevel"/>
    <w:tmpl w:val="79BED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B"/>
    <w:rsid w:val="000A239D"/>
    <w:rsid w:val="00126F4D"/>
    <w:rsid w:val="00177FD8"/>
    <w:rsid w:val="001B5B0B"/>
    <w:rsid w:val="001E43BB"/>
    <w:rsid w:val="00213F7F"/>
    <w:rsid w:val="002679DA"/>
    <w:rsid w:val="0035493B"/>
    <w:rsid w:val="003D58B1"/>
    <w:rsid w:val="003E28E9"/>
    <w:rsid w:val="003E3A2F"/>
    <w:rsid w:val="004B5995"/>
    <w:rsid w:val="005306D2"/>
    <w:rsid w:val="005C7704"/>
    <w:rsid w:val="005D75D4"/>
    <w:rsid w:val="005F7DA0"/>
    <w:rsid w:val="006A4053"/>
    <w:rsid w:val="006E39C0"/>
    <w:rsid w:val="007428AC"/>
    <w:rsid w:val="00874AC6"/>
    <w:rsid w:val="009415F5"/>
    <w:rsid w:val="00951556"/>
    <w:rsid w:val="009C39DC"/>
    <w:rsid w:val="009E1DB7"/>
    <w:rsid w:val="00BC2ECF"/>
    <w:rsid w:val="00C357BD"/>
    <w:rsid w:val="00C9420E"/>
    <w:rsid w:val="00D13F09"/>
    <w:rsid w:val="00E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138"/>
  <w15:chartTrackingRefBased/>
  <w15:docId w15:val="{A97C61A8-3268-45FD-B89C-77E19FD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42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4D6F"/>
    <w:pPr>
      <w:ind w:left="720"/>
      <w:contextualSpacing/>
    </w:pPr>
  </w:style>
  <w:style w:type="table" w:styleId="Rcsostblzat">
    <w:name w:val="Table Grid"/>
    <w:basedOn w:val="Normltblzat"/>
    <w:uiPriority w:val="39"/>
    <w:rsid w:val="001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A4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-u3IEgcT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5</cp:revision>
  <dcterms:created xsi:type="dcterms:W3CDTF">2020-04-08T08:39:00Z</dcterms:created>
  <dcterms:modified xsi:type="dcterms:W3CDTF">2020-04-08T09:15:00Z</dcterms:modified>
</cp:coreProperties>
</file>